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0"/>
          <w:szCs w:val="20"/>
        </w:rPr>
      </w:pPr>
      <w:r w:rsidDel="00000000" w:rsidR="00000000" w:rsidRPr="00000000">
        <w:rPr>
          <w:rtl w:val="0"/>
        </w:rPr>
      </w:r>
    </w:p>
    <w:tbl>
      <w:tblPr>
        <w:tblStyle w:val="Table1"/>
        <w:tblW w:w="88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40"/>
        <w:tblGridChange w:id="0">
          <w:tblGrid>
            <w:gridCol w:w="8840"/>
          </w:tblGrid>
        </w:tblGridChange>
      </w:tblGrid>
      <w:t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rPr>
                <w:rFonts w:ascii="Liberation Sans" w:cs="Liberation Sans" w:eastAsia="Liberation Sans" w:hAnsi="Liberation Sans"/>
                <w:b w:val="1"/>
                <w:sz w:val="20"/>
                <w:szCs w:val="20"/>
              </w:rPr>
            </w:pPr>
            <w:r w:rsidDel="00000000" w:rsidR="00000000" w:rsidRPr="00000000">
              <w:rPr>
                <w:rFonts w:ascii="Liberation Sans" w:cs="Liberation Sans" w:eastAsia="Liberation Sans" w:hAnsi="Liberation Sans"/>
                <w:b w:val="1"/>
                <w:sz w:val="20"/>
                <w:szCs w:val="20"/>
                <w:rtl w:val="0"/>
              </w:rPr>
              <w:t xml:space="preserve">Nombre: </w:t>
            </w:r>
          </w:p>
        </w:tc>
      </w:tr>
    </w:tbl>
    <w:p w:rsidR="00000000" w:rsidDel="00000000" w:rsidP="00000000" w:rsidRDefault="00000000" w:rsidRPr="00000000" w14:paraId="00000003">
      <w:pPr>
        <w:pStyle w:val="Title"/>
        <w:spacing w:after="120" w:before="240" w:lineRule="auto"/>
        <w:rPr>
          <w:rFonts w:ascii="Arial" w:cs="Arial" w:eastAsia="Arial" w:hAnsi="Arial"/>
          <w:sz w:val="24"/>
          <w:szCs w:val="24"/>
        </w:rPr>
      </w:pPr>
      <w:r w:rsidDel="00000000" w:rsidR="00000000" w:rsidRPr="00000000">
        <w:rPr>
          <w:sz w:val="24"/>
          <w:szCs w:val="24"/>
          <w:u w:val="single"/>
          <w:rtl w:val="0"/>
        </w:rPr>
        <w:t xml:space="preserve">G</w:t>
      </w:r>
      <w:r w:rsidDel="00000000" w:rsidR="00000000" w:rsidRPr="00000000">
        <w:rPr>
          <w:rFonts w:ascii="Arial" w:cs="Arial" w:eastAsia="Arial" w:hAnsi="Arial"/>
          <w:sz w:val="24"/>
          <w:szCs w:val="24"/>
          <w:u w:val="single"/>
          <w:rtl w:val="0"/>
        </w:rPr>
        <w:t xml:space="preserve">uía 3.</w:t>
      </w:r>
      <w:r w:rsidDel="00000000" w:rsidR="00000000" w:rsidRPr="00000000">
        <w:rPr>
          <w:rFonts w:ascii="Arial" w:cs="Arial" w:eastAsia="Arial" w:hAnsi="Arial"/>
          <w:sz w:val="24"/>
          <w:szCs w:val="24"/>
          <w:rtl w:val="0"/>
        </w:rPr>
        <w:t xml:space="preserve"> Presupuesto y Planificación</w:t>
      </w:r>
    </w:p>
    <w:p w:rsidR="00000000" w:rsidDel="00000000" w:rsidP="00000000" w:rsidRDefault="00000000" w:rsidRPr="00000000" w14:paraId="00000004">
      <w:pPr>
        <w:rPr/>
      </w:pPr>
      <w:r w:rsidDel="00000000" w:rsidR="00000000" w:rsidRPr="00000000">
        <w:rPr>
          <w:rtl w:val="0"/>
        </w:rPr>
      </w:r>
    </w:p>
    <w:tbl>
      <w:tblPr>
        <w:tblStyle w:val="Table2"/>
        <w:tblW w:w="88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2865"/>
        <w:gridCol w:w="1530"/>
        <w:gridCol w:w="2880"/>
        <w:tblGridChange w:id="0">
          <w:tblGrid>
            <w:gridCol w:w="1545"/>
            <w:gridCol w:w="2865"/>
            <w:gridCol w:w="1530"/>
            <w:gridCol w:w="2880"/>
          </w:tblGrid>
        </w:tblGridChange>
      </w:tblGrid>
      <w:tr>
        <w:tc>
          <w:tcPr>
            <w:tcBorders>
              <w:top w:color="ffffff" w:space="0" w:sz="8" w:val="single"/>
              <w:left w:color="ffffff" w:space="0" w:sz="8" w:val="single"/>
              <w:bottom w:color="808080" w:space="0" w:sz="8" w:val="single"/>
              <w:right w:color="808080" w:space="0" w:sz="18" w:val="single"/>
            </w:tcBorders>
            <w:shd w:fill="auto" w:val="clear"/>
          </w:tcPr>
          <w:p w:rsidR="00000000" w:rsidDel="00000000" w:rsidP="00000000" w:rsidRDefault="00000000" w:rsidRPr="00000000" w14:paraId="00000005">
            <w:pPr>
              <w:jc w:val="right"/>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Objetivo de Aprendizaje</w:t>
            </w:r>
          </w:p>
        </w:tc>
        <w:tc>
          <w:tcPr>
            <w:gridSpan w:val="3"/>
            <w:tcBorders>
              <w:top w:color="ffffff" w:space="0" w:sz="8" w:val="single"/>
              <w:left w:color="ffffff" w:space="0" w:sz="18" w:val="single"/>
              <w:bottom w:color="000000" w:space="0" w:sz="8" w:val="single"/>
              <w:right w:color="ffffff" w:space="0" w:sz="8" w:val="single"/>
            </w:tcBorders>
            <w:shd w:fill="auto" w:val="clear"/>
          </w:tcPr>
          <w:p w:rsidR="00000000" w:rsidDel="00000000" w:rsidP="00000000" w:rsidRDefault="00000000" w:rsidRPr="00000000" w14:paraId="00000006">
            <w:pPr>
              <w:rPr>
                <w:rFonts w:ascii="Arial" w:cs="Arial" w:eastAsia="Arial" w:hAnsi="Arial"/>
                <w:sz w:val="20"/>
                <w:szCs w:val="20"/>
              </w:rPr>
            </w:pPr>
            <w:r w:rsidDel="00000000" w:rsidR="00000000" w:rsidRPr="00000000">
              <w:rPr>
                <w:rFonts w:ascii="Arial" w:cs="Arial" w:eastAsia="Arial" w:hAnsi="Arial"/>
                <w:sz w:val="20"/>
                <w:szCs w:val="20"/>
                <w:rtl w:val="0"/>
              </w:rPr>
              <w:t xml:space="preserve">Fundamentar decisiones en el ámbito financiero y económico, personal o comunitario.</w:t>
            </w:r>
          </w:p>
        </w:tc>
      </w:tr>
      <w:tr>
        <w:tc>
          <w:tcPr>
            <w:tcBorders>
              <w:top w:color="ffffff" w:space="0" w:sz="8" w:val="single"/>
              <w:left w:color="ffffff" w:space="0" w:sz="8" w:val="single"/>
              <w:bottom w:color="808080" w:space="0" w:sz="8" w:val="single"/>
              <w:right w:color="808080" w:space="0" w:sz="18" w:val="single"/>
            </w:tcBorders>
            <w:shd w:fill="auto" w:val="clear"/>
          </w:tcPr>
          <w:p w:rsidR="00000000" w:rsidDel="00000000" w:rsidP="00000000" w:rsidRDefault="00000000" w:rsidRPr="00000000" w14:paraId="00000009">
            <w:pPr>
              <w:jc w:val="right"/>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Eje</w:t>
            </w:r>
          </w:p>
        </w:tc>
        <w:tc>
          <w:tcPr>
            <w:tcBorders>
              <w:top w:color="ffffff" w:space="0" w:sz="8" w:val="single"/>
              <w:left w:color="808080" w:space="0" w:sz="18" w:val="single"/>
              <w:bottom w:color="808080" w:space="0" w:sz="8" w:val="single"/>
              <w:right w:color="ffffff" w:space="0" w:sz="8" w:val="single"/>
            </w:tcBorders>
            <w:shd w:fill="auto" w:val="clear"/>
          </w:tcPr>
          <w:p w:rsidR="00000000" w:rsidDel="00000000" w:rsidP="00000000" w:rsidRDefault="00000000" w:rsidRPr="00000000" w14:paraId="0000000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Probabilidades y Estadísticas</w:t>
            </w:r>
          </w:p>
        </w:tc>
        <w:tc>
          <w:tcPr>
            <w:tcBorders>
              <w:top w:color="ffffff" w:space="0" w:sz="8" w:val="single"/>
              <w:left w:color="808080" w:space="0" w:sz="18" w:val="single"/>
              <w:bottom w:color="808080" w:space="0" w:sz="8" w:val="single"/>
              <w:right w:color="ffffff" w:space="0" w:sz="8" w:val="single"/>
            </w:tcBorders>
            <w:shd w:fill="auto" w:val="clear"/>
          </w:tcPr>
          <w:p w:rsidR="00000000" w:rsidDel="00000000" w:rsidP="00000000" w:rsidRDefault="00000000" w:rsidRPr="00000000" w14:paraId="0000000B">
            <w:pPr>
              <w:jc w:val="right"/>
              <w:rPr>
                <w:rFonts w:ascii="Arial" w:cs="Arial" w:eastAsia="Arial" w:hAnsi="Arial"/>
                <w:b w:val="1"/>
                <w:color w:val="434343"/>
                <w:sz w:val="20"/>
                <w:szCs w:val="20"/>
              </w:rPr>
            </w:pPr>
            <w:r w:rsidDel="00000000" w:rsidR="00000000" w:rsidRPr="00000000">
              <w:rPr>
                <w:rFonts w:ascii="Arial" w:cs="Arial" w:eastAsia="Arial" w:hAnsi="Arial"/>
                <w:b w:val="1"/>
                <w:color w:val="434343"/>
                <w:sz w:val="20"/>
                <w:szCs w:val="20"/>
                <w:rtl w:val="0"/>
              </w:rPr>
              <w:t xml:space="preserve">Tema</w:t>
            </w:r>
          </w:p>
        </w:tc>
        <w:tc>
          <w:tcPr>
            <w:tcBorders>
              <w:top w:color="ffffff" w:space="0" w:sz="8" w:val="single"/>
              <w:left w:color="808080" w:space="0" w:sz="18" w:val="single"/>
              <w:bottom w:color="808080" w:space="0" w:sz="8" w:val="single"/>
              <w:right w:color="ffffff" w:space="0" w:sz="8" w:val="single"/>
            </w:tcBorders>
            <w:shd w:fill="auto" w:val="clear"/>
          </w:tcPr>
          <w:p w:rsidR="00000000" w:rsidDel="00000000" w:rsidP="00000000" w:rsidRDefault="00000000" w:rsidRPr="00000000" w14:paraId="0000000C">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Presupuesto y Planificación</w:t>
            </w:r>
          </w:p>
        </w:tc>
      </w:tr>
      <w:tr>
        <w:tc>
          <w:tcPr>
            <w:tcBorders>
              <w:left w:color="ffffff" w:space="0" w:sz="8" w:val="single"/>
              <w:bottom w:color="808080" w:space="0" w:sz="8" w:val="single"/>
              <w:right w:color="808080" w:space="0" w:sz="18" w:val="single"/>
            </w:tcBorders>
            <w:shd w:fill="auto" w:val="clear"/>
          </w:tcPr>
          <w:p w:rsidR="00000000" w:rsidDel="00000000" w:rsidP="00000000" w:rsidRDefault="00000000" w:rsidRPr="00000000" w14:paraId="0000000D">
            <w:pPr>
              <w:jc w:val="right"/>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Instrucciones Generales</w:t>
            </w:r>
          </w:p>
        </w:tc>
        <w:tc>
          <w:tcPr>
            <w:gridSpan w:val="3"/>
            <w:tcBorders>
              <w:top w:color="000000" w:space="0" w:sz="8" w:val="single"/>
              <w:left w:color="ffffff" w:space="0" w:sz="18" w:val="single"/>
              <w:bottom w:color="000000" w:space="0" w:sz="8" w:val="single"/>
              <w:right w:color="ffffff" w:space="0" w:sz="8" w:val="single"/>
            </w:tcBorders>
            <w:shd w:fill="auto" w:val="clear"/>
          </w:tcPr>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Responda de forma clara cada una de las preguntas planteadas de forma ordenada en su cuadernillo de respuestas. Cada una de las respuestas debe ser enumerada según la pregunta. Recuerde que es necesario incluir cálculos y esquemas, etc. utilizados para dar respuesta a los ejercicios y problemas. </w:t>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Cuide la presentación y la ortografía</w:t>
            </w:r>
          </w:p>
        </w:tc>
      </w:tr>
      <w:tr>
        <w:tc>
          <w:tcPr>
            <w:tcBorders>
              <w:left w:color="ffffff" w:space="0" w:sz="8" w:val="single"/>
              <w:bottom w:color="ffffff" w:space="0" w:sz="8" w:val="single"/>
              <w:right w:color="ffffff" w:space="0" w:sz="18" w:val="single"/>
            </w:tcBorders>
            <w:shd w:fill="auto" w:val="clear"/>
          </w:tcPr>
          <w:p w:rsidR="00000000" w:rsidDel="00000000" w:rsidP="00000000" w:rsidRDefault="00000000" w:rsidRPr="00000000" w14:paraId="00000012">
            <w:pPr>
              <w:jc w:val="right"/>
              <w:rPr>
                <w:rFonts w:ascii="Arial" w:cs="Arial" w:eastAsia="Arial" w:hAnsi="Arial"/>
                <w:b w:val="1"/>
                <w:color w:val="333333"/>
                <w:sz w:val="20"/>
                <w:szCs w:val="20"/>
              </w:rPr>
            </w:pPr>
            <w:r w:rsidDel="00000000" w:rsidR="00000000" w:rsidRPr="00000000">
              <w:rPr>
                <w:rtl w:val="0"/>
              </w:rPr>
            </w:r>
          </w:p>
        </w:tc>
        <w:tc>
          <w:tcPr>
            <w:tcBorders>
              <w:left w:color="ffffff" w:space="0" w:sz="18" w:val="single"/>
              <w:bottom w:color="ffffff" w:space="0" w:sz="8" w:val="single"/>
              <w:right w:color="666666" w:space="0" w:sz="18" w:val="single"/>
            </w:tcBorders>
            <w:shd w:fill="auto" w:val="clear"/>
          </w:tcPr>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tc>
        <w:tc>
          <w:tcPr>
            <w:tcBorders>
              <w:left w:color="666666" w:space="0" w:sz="18" w:val="single"/>
              <w:bottom w:color="ffffff" w:space="0" w:sz="8" w:val="single"/>
              <w:right w:color="808080" w:space="0" w:sz="18" w:val="single"/>
            </w:tcBorders>
            <w:shd w:fill="auto" w:val="clear"/>
          </w:tcPr>
          <w:p w:rsidR="00000000" w:rsidDel="00000000" w:rsidP="00000000" w:rsidRDefault="00000000" w:rsidRPr="00000000" w14:paraId="00000014">
            <w:pPr>
              <w:ind w:left="70.86614173228358" w:firstLine="75.00000000000004"/>
              <w:jc w:val="right"/>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Evaluación</w:t>
            </w:r>
          </w:p>
        </w:tc>
        <w:tc>
          <w:tcPr>
            <w:tcBorders>
              <w:left w:color="808080" w:space="0" w:sz="18" w:val="single"/>
              <w:bottom w:color="ffffff" w:space="0" w:sz="8" w:val="single"/>
              <w:right w:color="ffffff" w:space="0" w:sz="8" w:val="single"/>
            </w:tcBorders>
            <w:shd w:fill="auto" w:val="clear"/>
          </w:tcPr>
          <w:p w:rsidR="00000000" w:rsidDel="00000000" w:rsidP="00000000" w:rsidRDefault="00000000" w:rsidRPr="00000000" w14:paraId="00000015">
            <w:pPr>
              <w:ind w:left="70.86614173228358" w:firstLine="75.00000000000004"/>
              <w:rPr>
                <w:rFonts w:ascii="Arial" w:cs="Arial" w:eastAsia="Arial" w:hAnsi="Arial"/>
                <w:sz w:val="20"/>
                <w:szCs w:val="20"/>
              </w:rPr>
            </w:pPr>
            <w:r w:rsidDel="00000000" w:rsidR="00000000" w:rsidRPr="00000000">
              <w:rPr>
                <w:rFonts w:ascii="Arial" w:cs="Arial" w:eastAsia="Arial" w:hAnsi="Arial"/>
                <w:sz w:val="20"/>
                <w:szCs w:val="20"/>
                <w:rtl w:val="0"/>
              </w:rPr>
              <w:t xml:space="preserve">Acumulativa Guías</w:t>
            </w:r>
          </w:p>
        </w:tc>
      </w:tr>
    </w:tb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76" w:lineRule="auto"/>
        <w:ind w:left="720" w:right="0" w:hanging="360"/>
        <w:rPr>
          <w:rFonts w:ascii="Arial" w:cs="Arial" w:eastAsia="Arial" w:hAnsi="Arial"/>
          <w:sz w:val="20"/>
          <w:szCs w:val="20"/>
          <w:u w:val="none"/>
        </w:rPr>
        <w:sectPr>
          <w:headerReference r:id="rId6" w:type="default"/>
          <w:headerReference r:id="rId7" w:type="first"/>
          <w:pgSz w:h="20160" w:w="12240" w:orient="portrait"/>
          <w:pgMar w:bottom="1417.3228346456694" w:top="1417.3228346456694" w:left="1700.7874015748032" w:right="1700.7874015748032" w:header="225" w:footer="0"/>
          <w:pgNumType w:start="1"/>
          <w:titlePg w:val="1"/>
        </w:sectPr>
      </w:pPr>
      <w:r w:rsidDel="00000000" w:rsidR="00000000" w:rsidRPr="00000000">
        <w:rPr>
          <w:rFonts w:ascii="Arial" w:cs="Arial" w:eastAsia="Arial" w:hAnsi="Arial"/>
          <w:sz w:val="20"/>
          <w:szCs w:val="20"/>
          <w:rtl w:val="0"/>
        </w:rPr>
        <w:t xml:space="preserve">Un local de comida gasta mensualmente lo siguiente: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720" w:right="0" w:firstLine="0"/>
        <w:jc w:val="center"/>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2577592" cy="1625600"/>
            <wp:effectExtent b="0" l="0" r="0" t="0"/>
            <wp:docPr id="6" name="image6.png"/>
            <a:graphic>
              <a:graphicData uri="http://schemas.openxmlformats.org/drawingml/2006/picture">
                <pic:pic>
                  <pic:nvPicPr>
                    <pic:cNvPr id="0" name="image6.png"/>
                    <pic:cNvPicPr preferRelativeResize="0"/>
                  </pic:nvPicPr>
                  <pic:blipFill>
                    <a:blip r:embed="rId8"/>
                    <a:srcRect b="20050" l="32871" r="27426" t="35187"/>
                    <a:stretch>
                      <a:fillRect/>
                    </a:stretch>
                  </pic:blipFill>
                  <pic:spPr>
                    <a:xfrm>
                      <a:off x="0" y="0"/>
                      <a:ext cx="2577592" cy="16256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Determina el gasto anual de la empresa</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Si con el 45% del ingreso mensual de la empresa se pagan los salarios del personal, ¿cuál fue aproximadamente el ingreso mensual de la empresa?</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rPr>
          <w:rFonts w:ascii="Arial" w:cs="Arial" w:eastAsia="Arial" w:hAnsi="Arial"/>
          <w:sz w:val="20"/>
          <w:szCs w:val="20"/>
        </w:rPr>
        <w:sectPr>
          <w:type w:val="continuous"/>
          <w:pgSz w:h="20160" w:w="12240" w:orient="portrait"/>
          <w:pgMar w:bottom="1417.3228346456694" w:top="1417.3228346456694" w:left="1700.7874015748032" w:right="1700.7874015748032" w:header="225" w:footer="0"/>
          <w:cols w:equalWidth="0" w:num="2">
            <w:col w:space="720" w:w="4059.2000000000003"/>
            <w:col w:space="0" w:w="4059.2000000000003"/>
          </w:cols>
        </w:sectPr>
      </w:pPr>
      <w:r w:rsidDel="00000000" w:rsidR="00000000" w:rsidRPr="00000000">
        <w:rPr>
          <w:rFonts w:ascii="Arial" w:cs="Arial" w:eastAsia="Arial" w:hAnsi="Arial"/>
          <w:sz w:val="20"/>
          <w:szCs w:val="20"/>
          <w:rtl w:val="0"/>
        </w:rPr>
        <w:t xml:space="preserve">Si se quisiera aumentar los sueldos del personal en 15%, ¿en cuánto disminuiría la ganancia?</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76" w:lineRule="auto"/>
        <w:ind w:left="720"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Carlos e Inés desean revisar sus finanzas para comprar una casa y evaluar un posible cambio laboral de Carlos. Sus ingresos y gastos mensuales son: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4792163" cy="1863085"/>
            <wp:effectExtent b="0" l="0" r="0" t="0"/>
            <wp:docPr id="3" name="image4.png"/>
            <a:graphic>
              <a:graphicData uri="http://schemas.openxmlformats.org/drawingml/2006/picture">
                <pic:pic>
                  <pic:nvPicPr>
                    <pic:cNvPr id="0" name="image4.png"/>
                    <pic:cNvPicPr preferRelativeResize="0"/>
                  </pic:nvPicPr>
                  <pic:blipFill>
                    <a:blip r:embed="rId9"/>
                    <a:srcRect b="16882" l="8417" r="6856" t="24517"/>
                    <a:stretch>
                      <a:fillRect/>
                    </a:stretch>
                  </pic:blipFill>
                  <pic:spPr>
                    <a:xfrm>
                      <a:off x="0" y="0"/>
                      <a:ext cx="4792163" cy="1863085"/>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Una de las opciones que están evaluando consiste en un crédito hipotecario con cuotas mensuales de $450000 para una casa cercana al trabajo de Inés, con lo que anula su gasto en transporte pero aumentaría el de Carlos  por el mismo concepto en 40%. ¿En qué porcentajes variarán los ingresos y los gastos?</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Otra opción que están considerando es que Carlos deje su trabajo actual para dedicarse a trabajar de forma independiente desde su casa, aumentando su ingreso variable en 50% y anulando su gasto en transporte. ¿En qué porcentajes variarán sus ingresos y sus gastos?</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Si decidieran llevar a cabo tanto el cambio de casa como el cambio laboral, ¿en qué porcentajes variarán los ingresos y los gastos?</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¿Qué decisión le recomendarían tomar a Carlos e Inés?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76" w:lineRule="auto"/>
        <w:ind w:left="720"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Completa la siguiente tabla con la variación porcentual de distintos productos: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5061450" cy="2202934"/>
            <wp:effectExtent b="0" l="0" r="0" t="0"/>
            <wp:docPr id="4" name="image2.png"/>
            <a:graphic>
              <a:graphicData uri="http://schemas.openxmlformats.org/drawingml/2006/picture">
                <pic:pic>
                  <pic:nvPicPr>
                    <pic:cNvPr id="0" name="image2.png"/>
                    <pic:cNvPicPr preferRelativeResize="0"/>
                  </pic:nvPicPr>
                  <pic:blipFill>
                    <a:blip r:embed="rId10"/>
                    <a:srcRect b="12471" l="8587" r="1253" t="17723"/>
                    <a:stretch>
                      <a:fillRect/>
                    </a:stretch>
                  </pic:blipFill>
                  <pic:spPr>
                    <a:xfrm>
                      <a:off x="0" y="0"/>
                      <a:ext cx="5061450" cy="2202934"/>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de todos los productos influyó más en la variación final?, ¿cuál menos?</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Se construye un IPC especial para medir la variación de estos productos, de modo que el café y el pan tengan una ponderación del 0,35 del total y el huevo, el jamón y el queso, un 0,1 del total. ¿Cuál será la variación del IPC?</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76" w:lineRule="auto"/>
        <w:ind w:left="720" w:right="0" w:hanging="360"/>
        <w:rPr>
          <w:rFonts w:ascii="Arial" w:cs="Arial" w:eastAsia="Arial" w:hAnsi="Arial"/>
          <w:sz w:val="20"/>
          <w:szCs w:val="20"/>
        </w:rPr>
        <w:sectPr>
          <w:type w:val="continuous"/>
          <w:pgSz w:h="20160" w:w="12240" w:orient="portrait"/>
          <w:pgMar w:bottom="1417.3228346456694" w:top="1417.3228346456694" w:left="1700.7874015748032" w:right="1700.7874015748032" w:header="225" w:footer="0"/>
        </w:sectPr>
      </w:pPr>
      <w:r w:rsidDel="00000000" w:rsidR="00000000" w:rsidRPr="00000000">
        <w:rPr>
          <w:rFonts w:ascii="Arial" w:cs="Arial" w:eastAsia="Arial" w:hAnsi="Arial"/>
          <w:sz w:val="20"/>
          <w:szCs w:val="20"/>
          <w:rtl w:val="0"/>
        </w:rPr>
        <w:t xml:space="preserve">Ana María trabaja a honorarios prestando servicios de mantención de automóviles en una empresa.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3824100" cy="2023384"/>
            <wp:effectExtent b="0" l="0" r="0" t="0"/>
            <wp:docPr id="5" name="image5.png"/>
            <a:graphic>
              <a:graphicData uri="http://schemas.openxmlformats.org/drawingml/2006/picture">
                <pic:pic>
                  <pic:nvPicPr>
                    <pic:cNvPr id="0" name="image5.png"/>
                    <pic:cNvPicPr preferRelativeResize="0"/>
                  </pic:nvPicPr>
                  <pic:blipFill>
                    <a:blip r:embed="rId11"/>
                    <a:srcRect b="23321" l="18779" r="26913" t="24997"/>
                    <a:stretch>
                      <a:fillRect/>
                    </a:stretch>
                  </pic:blipFill>
                  <pic:spPr>
                    <a:xfrm>
                      <a:off x="0" y="0"/>
                      <a:ext cx="3824100" cy="2023384"/>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after="14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numPr>
          <w:ilvl w:val="1"/>
          <w:numId w:val="1"/>
        </w:numPr>
        <w:spacing w:after="0" w:afterAutospacing="0" w:line="276"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Calcula los valores pedidos.</w:t>
      </w:r>
    </w:p>
    <w:p w:rsidR="00000000" w:rsidDel="00000000" w:rsidP="00000000" w:rsidRDefault="00000000" w:rsidRPr="00000000" w14:paraId="0000002A">
      <w:pPr>
        <w:numPr>
          <w:ilvl w:val="2"/>
          <w:numId w:val="1"/>
        </w:numPr>
        <w:spacing w:after="0" w:afterAutospacing="0" w:line="276" w:lineRule="auto"/>
        <w:ind w:left="1700.7874015748032"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el monto líquido que recibirá?</w:t>
      </w:r>
    </w:p>
    <w:p w:rsidR="00000000" w:rsidDel="00000000" w:rsidP="00000000" w:rsidRDefault="00000000" w:rsidRPr="00000000" w14:paraId="0000002B">
      <w:pPr>
        <w:numPr>
          <w:ilvl w:val="2"/>
          <w:numId w:val="1"/>
        </w:numPr>
        <w:spacing w:after="0" w:afterAutospacing="0" w:line="276" w:lineRule="auto"/>
        <w:ind w:left="1700.7874015748032"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 valor líquido que se obtendrá de una boleta de honorarios emitida por un monto bruto de $250.000.</w:t>
      </w:r>
    </w:p>
    <w:p w:rsidR="00000000" w:rsidDel="00000000" w:rsidP="00000000" w:rsidRDefault="00000000" w:rsidRPr="00000000" w14:paraId="0000002C">
      <w:pPr>
        <w:numPr>
          <w:ilvl w:val="2"/>
          <w:numId w:val="1"/>
        </w:numPr>
        <w:spacing w:after="0" w:afterAutospacing="0" w:line="276" w:lineRule="auto"/>
        <w:ind w:left="1700.7874015748032"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 monto bruto por el que se debe efectuar una boleta si el monto líquido es $55.556.</w:t>
      </w:r>
    </w:p>
    <w:p w:rsidR="00000000" w:rsidDel="00000000" w:rsidP="00000000" w:rsidRDefault="00000000" w:rsidRPr="00000000" w14:paraId="0000002D">
      <w:pPr>
        <w:numPr>
          <w:ilvl w:val="2"/>
          <w:numId w:val="1"/>
        </w:numPr>
        <w:spacing w:after="0" w:afterAutospacing="0" w:line="276" w:lineRule="auto"/>
        <w:ind w:left="1700.7874015748032" w:hanging="360"/>
        <w:rPr>
          <w:rFonts w:ascii="Arial" w:cs="Arial" w:eastAsia="Arial" w:hAnsi="Arial"/>
          <w:sz w:val="20"/>
          <w:szCs w:val="20"/>
          <w:u w:val="none"/>
        </w:rPr>
        <w:sectPr>
          <w:type w:val="continuous"/>
          <w:pgSz w:h="20160" w:w="12240" w:orient="portrait"/>
          <w:pgMar w:bottom="1417.3228346456694" w:top="1417.3228346456694" w:left="1700.7874015748032" w:right="1700.7874015748032" w:header="225" w:footer="0"/>
          <w:cols w:equalWidth="0" w:num="2">
            <w:col w:space="720" w:w="4059.2000000000003"/>
            <w:col w:space="0" w:w="4059.2000000000003"/>
          </w:cols>
        </w:sectPr>
      </w:pPr>
      <w:r w:rsidDel="00000000" w:rsidR="00000000" w:rsidRPr="00000000">
        <w:rPr>
          <w:rFonts w:ascii="Arial" w:cs="Arial" w:eastAsia="Arial" w:hAnsi="Arial"/>
          <w:sz w:val="20"/>
          <w:szCs w:val="20"/>
          <w:rtl w:val="0"/>
        </w:rPr>
        <w:t xml:space="preserve">Los montos líquido y bruto si lo retenido por impuestos fue $5.300</w:t>
      </w:r>
    </w:p>
    <w:p w:rsidR="00000000" w:rsidDel="00000000" w:rsidP="00000000" w:rsidRDefault="00000000" w:rsidRPr="00000000" w14:paraId="0000002E">
      <w:pPr>
        <w:numPr>
          <w:ilvl w:val="0"/>
          <w:numId w:val="1"/>
        </w:numPr>
        <w:spacing w:after="140" w:line="276"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Completa los montos faltantes en el detalle de la remuneración de un trabajador con contrato indefinido</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4784018" cy="2837976"/>
            <wp:effectExtent b="0" l="0" r="0" t="0"/>
            <wp:docPr id="2" name="image3.png"/>
            <a:graphic>
              <a:graphicData uri="http://schemas.openxmlformats.org/drawingml/2006/picture">
                <pic:pic>
                  <pic:nvPicPr>
                    <pic:cNvPr id="0" name="image3.png"/>
                    <pic:cNvPicPr preferRelativeResize="0"/>
                  </pic:nvPicPr>
                  <pic:blipFill>
                    <a:blip r:embed="rId12"/>
                    <a:srcRect b="6510" l="14875" r="15017" t="19499"/>
                    <a:stretch>
                      <a:fillRect/>
                    </a:stretch>
                  </pic:blipFill>
                  <pic:spPr>
                    <a:xfrm>
                      <a:off x="0" y="0"/>
                      <a:ext cx="4784018" cy="2837976"/>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Resuelve los siguientes problemas considerando los descuentos legales del 10% de AFP, 1,5% de comisión de AFP y 7% de salud y sin impuesto de segunda categoría.</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Lucía es una trabajadora dependiente con contrato indefinido. Si su sueldo base es $570.000 y su gratificación es de $93.000, ¿cuál es el monto de cada descuento legal?</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40" w:before="0" w:line="276" w:lineRule="auto"/>
        <w:ind w:left="1440"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Isaac emite todos los meses una boleta de honorarios para una empresa por un total de $450.000 y se le retiene por impuesto el 10%. Si le ofrecen un puesto en esta empresa con un sueldo bruto de $450.000 y gratificaciones de $75.000, ¿le conviene cambiar de contrato?, ¿por qué?</w:t>
      </w:r>
      <w:r w:rsidDel="00000000" w:rsidR="00000000" w:rsidRPr="00000000">
        <w:rPr>
          <w:rtl w:val="0"/>
        </w:rPr>
      </w:r>
    </w:p>
    <w:sectPr>
      <w:type w:val="continuous"/>
      <w:pgSz w:h="20160" w:w="12240" w:orient="portrait"/>
      <w:pgMar w:bottom="1417.3228346456694" w:top="1417.3228346456694" w:left="1700.7874015748032" w:right="1700.7874015748032" w:header="225"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ans"/>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drawing>
        <wp:anchor allowOverlap="1" behindDoc="0" distB="0" distT="0" distL="0" distR="0" hidden="0" layoutInCell="1" locked="0" relativeHeight="0" simplePos="0">
          <wp:simplePos x="0" y="0"/>
          <wp:positionH relativeFrom="page">
            <wp:posOffset>6350250</wp:posOffset>
          </wp:positionH>
          <wp:positionV relativeFrom="page">
            <wp:posOffset>266700</wp:posOffset>
          </wp:positionV>
          <wp:extent cx="874463" cy="981075"/>
          <wp:effectExtent b="635" l="635" r="635" t="635"/>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4463" cy="981075"/>
                  </a:xfrm>
                  <a:prstGeom prst="rect"/>
                  <a:ln w="635">
                    <a:solidFill>
                      <a:srgbClr val="FFFFFF"/>
                    </a:solidFill>
                    <a:prstDash val="solid"/>
                  </a:ln>
                </pic:spPr>
              </pic:pic>
            </a:graphicData>
          </a:graphic>
        </wp:anchor>
      </w:drawing>
    </w:r>
    <w:r w:rsidDel="00000000" w:rsidR="00000000" w:rsidRPr="00000000">
      <w:rPr>
        <w:rtl w:val="0"/>
      </w:rPr>
    </w:r>
  </w:p>
  <w:tbl>
    <w:tblPr>
      <w:tblStyle w:val="Table3"/>
      <w:tblW w:w="10800.0" w:type="dxa"/>
      <w:jc w:val="left"/>
      <w:tblInd w:w="0.0" w:type="dxa"/>
      <w:tblLayout w:type="fixed"/>
      <w:tblLook w:val="0000"/>
    </w:tblPr>
    <w:tblGrid>
      <w:gridCol w:w="3464"/>
      <w:gridCol w:w="7336"/>
      <w:tblGridChange w:id="0">
        <w:tblGrid>
          <w:gridCol w:w="3464"/>
          <w:gridCol w:w="7336"/>
        </w:tblGrid>
      </w:tblGridChange>
    </w:tblGrid>
    <w:tr>
      <w:tc>
        <w:tcPr>
          <w:shd w:fill="auto" w:val="clear"/>
          <w:vAlign w:val="bottom"/>
        </w:tcPr>
        <w:p w:rsidR="00000000" w:rsidDel="00000000" w:rsidP="00000000" w:rsidRDefault="00000000" w:rsidRPr="00000000" w14:paraId="00000034">
          <w:pPr>
            <w:spacing w:after="0" w:before="0" w:line="309" w:lineRule="auto"/>
            <w:rPr>
              <w:rFonts w:ascii="Arial" w:cs="Arial" w:eastAsia="Arial" w:hAnsi="Arial"/>
              <w:b w:val="0"/>
              <w:i w:val="0"/>
              <w:smallCaps w:val="0"/>
              <w:strike w:val="0"/>
              <w:color w:val="000000"/>
              <w:sz w:val="16"/>
              <w:szCs w:val="16"/>
              <w:u w:val="none"/>
            </w:rPr>
          </w:pPr>
          <w:r w:rsidDel="00000000" w:rsidR="00000000" w:rsidRPr="00000000">
            <w:rPr>
              <w:rFonts w:ascii="Arial" w:cs="Arial" w:eastAsia="Arial" w:hAnsi="Arial"/>
              <w:b w:val="0"/>
              <w:i w:val="0"/>
              <w:smallCaps w:val="0"/>
              <w:strike w:val="0"/>
              <w:color w:val="000000"/>
              <w:sz w:val="16"/>
              <w:szCs w:val="16"/>
              <w:u w:val="none"/>
              <w:rtl w:val="0"/>
            </w:rPr>
            <w:t xml:space="preserve">CORPORACIÓN EDUCACIONAL A&amp;G</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09"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Colegio El Prado</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09"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Cooperativa nº 7029 – Pudahuel</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Teléfonos: 227499500 - 227476072</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r:id="rId2">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www.colegioelprado.cl</w:t>
            </w:r>
          </w:hyperlink>
          <w:r w:rsidDel="00000000" w:rsidR="00000000" w:rsidRPr="00000000">
            <w:rPr>
              <w:rtl w:val="0"/>
            </w:rPr>
          </w:r>
        </w:p>
      </w:tc>
      <w:tc>
        <w:tcPr>
          <w:shd w:fill="auto" w:val="clear"/>
          <w:vAlign w:val="bottom"/>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Matemáticas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Profesora Herma Casanova Morales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Medio</w:t>
          </w:r>
        </w:p>
      </w:tc>
    </w:tr>
  </w:tb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09"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09"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C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0" w:firstLine="0"/>
    </w:pPr>
    <w:rPr>
      <w:rFonts w:ascii="Liberation Sans" w:cs="Liberation Sans" w:eastAsia="Liberation Sans" w:hAnsi="Liberation Sans"/>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2.png"/><Relationship Id="rId12"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colegioelprado.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